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C5" w:rsidRPr="00EB48C5" w:rsidRDefault="00EB48C5" w:rsidP="00EB48C5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EB48C5">
        <w:rPr>
          <w:rFonts w:eastAsiaTheme="minorHAnsi"/>
          <w:lang w:eastAsia="en-US"/>
        </w:rPr>
        <w:t xml:space="preserve">Автономная некоммерческая </w:t>
      </w:r>
      <w:r w:rsidR="00A176E0">
        <w:rPr>
          <w:rFonts w:eastAsiaTheme="minorHAnsi"/>
          <w:lang w:eastAsia="en-US"/>
        </w:rPr>
        <w:t xml:space="preserve">профессиональная образовательная </w:t>
      </w:r>
      <w:r w:rsidRPr="00EB48C5">
        <w:rPr>
          <w:rFonts w:eastAsiaTheme="minorHAnsi"/>
          <w:lang w:eastAsia="en-US"/>
        </w:rPr>
        <w:t xml:space="preserve">организация </w:t>
      </w:r>
    </w:p>
    <w:p w:rsidR="00EB48C5" w:rsidRPr="00EB48C5" w:rsidRDefault="00EB48C5" w:rsidP="00EB48C5">
      <w:pPr>
        <w:widowControl/>
        <w:autoSpaceDE/>
        <w:autoSpaceDN/>
        <w:adjustRightInd/>
        <w:jc w:val="center"/>
        <w:rPr>
          <w:rFonts w:eastAsiaTheme="minorHAnsi"/>
          <w:b/>
          <w:lang w:eastAsia="en-US"/>
        </w:rPr>
      </w:pPr>
      <w:r w:rsidRPr="00EB48C5">
        <w:rPr>
          <w:rFonts w:eastAsiaTheme="minorHAnsi"/>
          <w:b/>
          <w:lang w:eastAsia="en-US"/>
        </w:rPr>
        <w:t>«УРАЛЬСКИЙ ПРОМЫШЛЕННО-ЭКОНОМИЧЕСКИЙ ТЕХНИКУМ»</w:t>
      </w:r>
    </w:p>
    <w:p w:rsidR="00EB48C5" w:rsidRDefault="00EB48C5" w:rsidP="00EB48C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p w:rsidR="001E3653" w:rsidRDefault="001E3653" w:rsidP="00EB48C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p w:rsidR="001E3653" w:rsidRDefault="001E3653" w:rsidP="00EB48C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p w:rsidR="00FD317E" w:rsidRDefault="001E3653" w:rsidP="00EB48C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1E3653">
        <w:rPr>
          <w:rFonts w:eastAsiaTheme="minorHAnsi"/>
          <w:b/>
          <w:noProof/>
        </w:rPr>
        <w:drawing>
          <wp:inline distT="0" distB="0" distL="0" distR="0">
            <wp:extent cx="5924550" cy="2124075"/>
            <wp:effectExtent l="0" t="0" r="0" b="0"/>
            <wp:docPr id="1" name="Рисунок 1" descr="C:\Users\1\Pictures\2019-06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7E" w:rsidRPr="00EB48C5" w:rsidRDefault="00FD317E" w:rsidP="00EB48C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764D2D" w:rsidTr="00764D2D">
        <w:tc>
          <w:tcPr>
            <w:tcW w:w="5778" w:type="dxa"/>
          </w:tcPr>
          <w:p w:rsidR="00764D2D" w:rsidRDefault="00764D2D" w:rsidP="00EB48C5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764D2D" w:rsidRDefault="00764D2D" w:rsidP="00EB48C5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764D2D" w:rsidRDefault="00764D2D" w:rsidP="00EB48C5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764D2D" w:rsidRDefault="00764D2D" w:rsidP="00EB48C5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764D2D" w:rsidRDefault="00764D2D" w:rsidP="00EB48C5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EB48C5" w:rsidRPr="00EB48C5" w:rsidRDefault="00EB48C5" w:rsidP="00EB48C5">
      <w:pPr>
        <w:widowControl/>
        <w:jc w:val="both"/>
        <w:rPr>
          <w:rFonts w:eastAsiaTheme="minorHAnsi"/>
          <w:lang w:eastAsia="en-US"/>
        </w:rPr>
      </w:pPr>
    </w:p>
    <w:p w:rsidR="00EB48C5" w:rsidRPr="00EB48C5" w:rsidRDefault="00EB48C5" w:rsidP="00EB48C5">
      <w:pPr>
        <w:widowControl/>
        <w:jc w:val="both"/>
        <w:rPr>
          <w:rFonts w:eastAsiaTheme="minorHAnsi"/>
          <w:lang w:eastAsia="en-US"/>
        </w:rPr>
      </w:pPr>
    </w:p>
    <w:p w:rsidR="00EB48C5" w:rsidRPr="00EB48C5" w:rsidRDefault="00EB48C5" w:rsidP="00EB48C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B48C5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EB48C5" w:rsidRPr="00EB48C5" w:rsidRDefault="00EB48C5" w:rsidP="00EB48C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B48C5">
        <w:rPr>
          <w:rFonts w:eastAsiaTheme="minorHAnsi"/>
          <w:b/>
          <w:sz w:val="26"/>
          <w:szCs w:val="26"/>
          <w:lang w:eastAsia="en-US"/>
        </w:rPr>
        <w:t xml:space="preserve">о </w:t>
      </w:r>
      <w:r w:rsidRPr="005B3EB4">
        <w:rPr>
          <w:rFonts w:eastAsiaTheme="minorHAnsi"/>
          <w:b/>
          <w:sz w:val="26"/>
          <w:szCs w:val="26"/>
          <w:lang w:eastAsia="en-US"/>
        </w:rPr>
        <w:t xml:space="preserve">текущем контроле знаний </w:t>
      </w:r>
      <w:r w:rsidRPr="00EB48C5">
        <w:rPr>
          <w:rFonts w:eastAsiaTheme="minorHAnsi"/>
          <w:b/>
          <w:sz w:val="26"/>
          <w:szCs w:val="26"/>
          <w:lang w:eastAsia="en-US"/>
        </w:rPr>
        <w:t>в АН</w:t>
      </w:r>
      <w:r w:rsidR="00A176E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48C5">
        <w:rPr>
          <w:rFonts w:eastAsiaTheme="minorHAnsi"/>
          <w:b/>
          <w:sz w:val="26"/>
          <w:szCs w:val="26"/>
          <w:lang w:eastAsia="en-US"/>
        </w:rPr>
        <w:t>ПО</w:t>
      </w:r>
      <w:r w:rsidR="00A176E0">
        <w:rPr>
          <w:rFonts w:eastAsiaTheme="minorHAnsi"/>
          <w:b/>
          <w:sz w:val="26"/>
          <w:szCs w:val="26"/>
          <w:lang w:eastAsia="en-US"/>
        </w:rPr>
        <w:t>О</w:t>
      </w:r>
      <w:r w:rsidRPr="00EB48C5"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A176E0">
        <w:rPr>
          <w:rFonts w:eastAsiaTheme="minorHAnsi"/>
          <w:b/>
          <w:sz w:val="26"/>
          <w:szCs w:val="26"/>
          <w:lang w:eastAsia="en-US"/>
        </w:rPr>
        <w:t>Уральский промышленно-экономический техникум</w:t>
      </w:r>
      <w:r w:rsidRPr="00EB48C5">
        <w:rPr>
          <w:rFonts w:eastAsiaTheme="minorHAnsi"/>
          <w:b/>
          <w:sz w:val="26"/>
          <w:szCs w:val="26"/>
          <w:lang w:eastAsia="en-US"/>
        </w:rPr>
        <w:t>»</w:t>
      </w:r>
    </w:p>
    <w:p w:rsidR="00EB48C5" w:rsidRDefault="00EB48C5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FD317E" w:rsidRPr="00EB48C5" w:rsidRDefault="00FD317E" w:rsidP="00EB48C5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2019</w:t>
      </w:r>
    </w:p>
    <w:p w:rsidR="00FD317E" w:rsidRDefault="00FD317E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tbl>
      <w:tblPr>
        <w:tblW w:w="11900" w:type="dxa"/>
        <w:tblInd w:w="-176" w:type="dxa"/>
        <w:tblLook w:val="04A0" w:firstRow="1" w:lastRow="0" w:firstColumn="1" w:lastColumn="0" w:noHBand="0" w:noVBand="1"/>
      </w:tblPr>
      <w:tblGrid>
        <w:gridCol w:w="5244"/>
        <w:gridCol w:w="4429"/>
        <w:gridCol w:w="2005"/>
        <w:gridCol w:w="222"/>
      </w:tblGrid>
      <w:tr w:rsidR="00FD317E" w:rsidRPr="0019422D" w:rsidTr="001E3653">
        <w:trPr>
          <w:trHeight w:val="1166"/>
        </w:trPr>
        <w:tc>
          <w:tcPr>
            <w:tcW w:w="11678" w:type="dxa"/>
            <w:gridSpan w:val="3"/>
          </w:tcPr>
          <w:p w:rsidR="00FD317E" w:rsidRPr="0019422D" w:rsidRDefault="001E3653" w:rsidP="007634DF">
            <w:pPr>
              <w:jc w:val="both"/>
            </w:pPr>
            <w:r w:rsidRPr="001E3653">
              <w:rPr>
                <w:noProof/>
              </w:rPr>
              <w:lastRenderedPageBreak/>
              <w:drawing>
                <wp:inline distT="0" distB="0" distL="0" distR="0">
                  <wp:extent cx="6153150" cy="1419225"/>
                  <wp:effectExtent l="0" t="0" r="0" b="0"/>
                  <wp:docPr id="2" name="Рисунок 2" descr="C:\Users\1\Pictures\2019-06-07 2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2019-06-07 2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D317E" w:rsidRPr="0019422D" w:rsidRDefault="00FD317E" w:rsidP="007634DF">
            <w:pPr>
              <w:ind w:firstLine="927"/>
              <w:jc w:val="both"/>
            </w:pPr>
          </w:p>
        </w:tc>
      </w:tr>
      <w:tr w:rsidR="00FD317E" w:rsidRPr="0063262B" w:rsidTr="001E3653">
        <w:trPr>
          <w:gridAfter w:val="2"/>
          <w:wAfter w:w="2227" w:type="dxa"/>
          <w:trHeight w:val="1166"/>
        </w:trPr>
        <w:tc>
          <w:tcPr>
            <w:tcW w:w="5244" w:type="dxa"/>
          </w:tcPr>
          <w:p w:rsidR="00FD317E" w:rsidRPr="0063262B" w:rsidRDefault="00FD317E" w:rsidP="007634DF">
            <w:pPr>
              <w:jc w:val="both"/>
            </w:pPr>
          </w:p>
        </w:tc>
        <w:tc>
          <w:tcPr>
            <w:tcW w:w="4429" w:type="dxa"/>
          </w:tcPr>
          <w:p w:rsidR="00FD317E" w:rsidRPr="0063262B" w:rsidRDefault="00FD317E" w:rsidP="007634DF">
            <w:pPr>
              <w:ind w:firstLine="927"/>
            </w:pPr>
          </w:p>
        </w:tc>
      </w:tr>
    </w:tbl>
    <w:p w:rsidR="00FD317E" w:rsidRDefault="00FD317E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D317E" w:rsidRDefault="00FD317E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D317E" w:rsidRDefault="00FD317E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D317E" w:rsidRDefault="00FD317E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6D41AF" w:rsidRDefault="00A176E0" w:rsidP="005B3EB4">
      <w:pPr>
        <w:widowControl/>
        <w:spacing w:line="276" w:lineRule="auto"/>
        <w:ind w:firstLine="567"/>
        <w:jc w:val="both"/>
        <w:rPr>
          <w:rStyle w:val="FontStyle91"/>
        </w:rPr>
      </w:pPr>
      <w:r w:rsidRPr="00A176E0">
        <w:rPr>
          <w:rFonts w:eastAsiaTheme="minorHAnsi"/>
          <w:sz w:val="26"/>
          <w:szCs w:val="26"/>
          <w:lang w:eastAsia="en-US"/>
        </w:rPr>
        <w:lastRenderedPageBreak/>
        <w:t>АН ПОО «Уральский промышленно-экономический техникум</w:t>
      </w:r>
      <w:r w:rsidR="00EB48C5" w:rsidRPr="00A176E0">
        <w:rPr>
          <w:rFonts w:eastAsiaTheme="minorHAnsi"/>
          <w:sz w:val="26"/>
          <w:szCs w:val="26"/>
          <w:lang w:eastAsia="en-US"/>
        </w:rPr>
        <w:t xml:space="preserve">», именуемое в дальнейшем «техникум», на основании Федерального закона «Об образовании в Российской Федерации» от 29 декабря 2012г. № 273-ФЗ, </w:t>
      </w:r>
      <w:r w:rsidRPr="00A176E0">
        <w:rPr>
          <w:sz w:val="26"/>
          <w:szCs w:val="26"/>
        </w:rPr>
        <w:t>Приказа Министерства образования и науки Российской Федерации от 14 июня 2013 г. N 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</w:t>
      </w:r>
      <w:r w:rsidRPr="00A176E0">
        <w:rPr>
          <w:rFonts w:eastAsia="Calibri"/>
          <w:sz w:val="26"/>
          <w:szCs w:val="26"/>
          <w:lang w:eastAsia="en-US"/>
        </w:rPr>
        <w:t xml:space="preserve"> Устава АН ПОО «Уральский промышленно-экономический техникум»,   программ подготовки специалистов среднего звена  (далее ПП</w:t>
      </w:r>
      <w:r w:rsidR="00886A32">
        <w:rPr>
          <w:rFonts w:eastAsia="Calibri"/>
          <w:sz w:val="26"/>
          <w:szCs w:val="26"/>
          <w:lang w:eastAsia="en-US"/>
        </w:rPr>
        <w:t>С</w:t>
      </w:r>
      <w:r w:rsidRPr="00A176E0">
        <w:rPr>
          <w:rFonts w:eastAsia="Calibri"/>
          <w:sz w:val="26"/>
          <w:szCs w:val="26"/>
          <w:lang w:eastAsia="en-US"/>
        </w:rPr>
        <w:t>СЗ) и в их рамках, федеральных государственных образовательных стандартов СПО</w:t>
      </w:r>
      <w:r w:rsidRPr="00A176E0">
        <w:rPr>
          <w:rFonts w:eastAsiaTheme="minorHAnsi"/>
          <w:sz w:val="26"/>
          <w:szCs w:val="26"/>
          <w:lang w:eastAsia="en-US"/>
        </w:rPr>
        <w:t xml:space="preserve">, </w:t>
      </w:r>
      <w:r w:rsidR="001A57E3" w:rsidRPr="00A176E0">
        <w:rPr>
          <w:rFonts w:eastAsiaTheme="minorHAnsi"/>
          <w:sz w:val="26"/>
          <w:szCs w:val="26"/>
          <w:lang w:eastAsia="en-US"/>
        </w:rPr>
        <w:t xml:space="preserve">для оценки уровня и качества </w:t>
      </w:r>
      <w:r w:rsidR="001011CC" w:rsidRPr="00A176E0">
        <w:rPr>
          <w:rFonts w:eastAsiaTheme="minorHAnsi"/>
          <w:sz w:val="26"/>
          <w:szCs w:val="26"/>
          <w:lang w:eastAsia="en-US"/>
        </w:rPr>
        <w:t>освоения</w:t>
      </w:r>
      <w:r w:rsidR="001A57E3" w:rsidRPr="00A176E0">
        <w:rPr>
          <w:rFonts w:eastAsiaTheme="minorHAnsi"/>
          <w:sz w:val="26"/>
          <w:szCs w:val="26"/>
          <w:lang w:eastAsia="en-US"/>
        </w:rPr>
        <w:t xml:space="preserve"> студент</w:t>
      </w:r>
      <w:r w:rsidR="001011CC" w:rsidRPr="00A176E0">
        <w:rPr>
          <w:rFonts w:eastAsiaTheme="minorHAnsi"/>
          <w:sz w:val="26"/>
          <w:szCs w:val="26"/>
          <w:lang w:eastAsia="en-US"/>
        </w:rPr>
        <w:t>ами</w:t>
      </w:r>
      <w:r w:rsidR="00EB48C5" w:rsidRPr="00A176E0">
        <w:rPr>
          <w:rFonts w:eastAsiaTheme="minorHAnsi"/>
          <w:sz w:val="26"/>
          <w:szCs w:val="26"/>
          <w:lang w:eastAsia="en-US"/>
        </w:rPr>
        <w:t xml:space="preserve"> умени</w:t>
      </w:r>
      <w:r w:rsidR="001A57E3" w:rsidRPr="00A176E0">
        <w:rPr>
          <w:rFonts w:eastAsiaTheme="minorHAnsi"/>
          <w:sz w:val="26"/>
          <w:szCs w:val="26"/>
          <w:lang w:eastAsia="en-US"/>
        </w:rPr>
        <w:t>й</w:t>
      </w:r>
      <w:r w:rsidR="001011CC" w:rsidRPr="00A176E0">
        <w:rPr>
          <w:rFonts w:eastAsiaTheme="minorHAnsi"/>
          <w:sz w:val="26"/>
          <w:szCs w:val="26"/>
          <w:lang w:eastAsia="en-US"/>
        </w:rPr>
        <w:t xml:space="preserve"> и</w:t>
      </w:r>
      <w:r w:rsidR="00EB48C5" w:rsidRPr="00A176E0">
        <w:rPr>
          <w:rFonts w:eastAsiaTheme="minorHAnsi"/>
          <w:sz w:val="26"/>
          <w:szCs w:val="26"/>
          <w:lang w:eastAsia="en-US"/>
        </w:rPr>
        <w:t xml:space="preserve"> знани</w:t>
      </w:r>
      <w:r w:rsidR="001A57E3" w:rsidRPr="00A176E0">
        <w:rPr>
          <w:rFonts w:eastAsiaTheme="minorHAnsi"/>
          <w:sz w:val="26"/>
          <w:szCs w:val="26"/>
          <w:lang w:eastAsia="en-US"/>
        </w:rPr>
        <w:t xml:space="preserve">й и </w:t>
      </w:r>
      <w:r w:rsidR="001011CC" w:rsidRPr="00A176E0">
        <w:rPr>
          <w:rFonts w:eastAsiaTheme="minorHAnsi"/>
          <w:sz w:val="26"/>
          <w:szCs w:val="26"/>
          <w:lang w:eastAsia="en-US"/>
        </w:rPr>
        <w:t xml:space="preserve">приобретения ими </w:t>
      </w:r>
      <w:r w:rsidR="001A57E3" w:rsidRPr="00A176E0">
        <w:rPr>
          <w:rFonts w:eastAsiaTheme="minorHAnsi"/>
          <w:sz w:val="26"/>
          <w:szCs w:val="26"/>
          <w:lang w:eastAsia="en-US"/>
        </w:rPr>
        <w:t>практического опыта</w:t>
      </w:r>
      <w:r w:rsidR="00EB48C5" w:rsidRPr="00A176E0">
        <w:rPr>
          <w:rFonts w:eastAsiaTheme="minorHAnsi"/>
          <w:sz w:val="26"/>
          <w:szCs w:val="26"/>
          <w:lang w:eastAsia="en-US"/>
        </w:rPr>
        <w:t>, необходимы</w:t>
      </w:r>
      <w:r w:rsidR="001A57E3" w:rsidRPr="00A176E0">
        <w:rPr>
          <w:rFonts w:eastAsiaTheme="minorHAnsi"/>
          <w:sz w:val="26"/>
          <w:szCs w:val="26"/>
          <w:lang w:eastAsia="en-US"/>
        </w:rPr>
        <w:t>х</w:t>
      </w:r>
      <w:r w:rsidR="00EB48C5" w:rsidRPr="00A176E0">
        <w:rPr>
          <w:rFonts w:eastAsiaTheme="minorHAnsi"/>
          <w:sz w:val="26"/>
          <w:szCs w:val="26"/>
          <w:lang w:eastAsia="en-US"/>
        </w:rPr>
        <w:t xml:space="preserve"> для </w:t>
      </w:r>
      <w:r w:rsidR="001011CC" w:rsidRPr="00A176E0">
        <w:rPr>
          <w:rFonts w:eastAsiaTheme="minorHAnsi"/>
          <w:sz w:val="26"/>
          <w:szCs w:val="26"/>
          <w:lang w:eastAsia="en-US"/>
        </w:rPr>
        <w:t>формирования общих и профессиональных компетенций</w:t>
      </w:r>
      <w:r w:rsidR="002900FE">
        <w:rPr>
          <w:rFonts w:eastAsiaTheme="minorHAnsi"/>
          <w:sz w:val="26"/>
          <w:szCs w:val="26"/>
          <w:lang w:eastAsia="en-US"/>
        </w:rPr>
        <w:t xml:space="preserve"> </w:t>
      </w:r>
      <w:r w:rsidR="001011CC" w:rsidRPr="00A176E0">
        <w:rPr>
          <w:rFonts w:eastAsiaTheme="minorHAnsi"/>
          <w:sz w:val="26"/>
          <w:szCs w:val="26"/>
          <w:lang w:eastAsia="en-US"/>
        </w:rPr>
        <w:t>по специальности,</w:t>
      </w:r>
      <w:r w:rsidR="002900FE">
        <w:rPr>
          <w:rFonts w:eastAsiaTheme="minorHAnsi"/>
          <w:sz w:val="26"/>
          <w:szCs w:val="26"/>
          <w:lang w:eastAsia="en-US"/>
        </w:rPr>
        <w:t xml:space="preserve"> </w:t>
      </w:r>
      <w:r w:rsidR="006D41AF" w:rsidRPr="00A176E0">
        <w:rPr>
          <w:rStyle w:val="FontStyle91"/>
        </w:rPr>
        <w:t xml:space="preserve">определяет порядок проведения и содержания </w:t>
      </w:r>
      <w:r w:rsidR="005B3EB4" w:rsidRPr="00A176E0">
        <w:rPr>
          <w:rStyle w:val="FontStyle91"/>
        </w:rPr>
        <w:t>текущего контроля знаний</w:t>
      </w:r>
      <w:r w:rsidR="006D41AF" w:rsidRPr="00A176E0">
        <w:rPr>
          <w:rStyle w:val="FontStyle91"/>
        </w:rPr>
        <w:t xml:space="preserve"> студентов, характеризует совокупность требований по всем ее видам, в том числе к содержанию, контрольно-оценочным средствам и технологии проведения</w:t>
      </w:r>
      <w:r w:rsidR="006D41AF" w:rsidRPr="005B3EB4">
        <w:rPr>
          <w:rStyle w:val="FontStyle91"/>
        </w:rPr>
        <w:t>.</w:t>
      </w:r>
    </w:p>
    <w:p w:rsidR="007D3AAD" w:rsidRPr="005B3EB4" w:rsidRDefault="007D3AAD" w:rsidP="005B3EB4">
      <w:pPr>
        <w:widowControl/>
        <w:spacing w:line="276" w:lineRule="auto"/>
        <w:ind w:firstLine="567"/>
        <w:jc w:val="both"/>
        <w:rPr>
          <w:rStyle w:val="FontStyle91"/>
        </w:rPr>
      </w:pPr>
    </w:p>
    <w:p w:rsidR="006D41AF" w:rsidRDefault="006D41AF" w:rsidP="00FD317E">
      <w:pPr>
        <w:pStyle w:val="Style4"/>
        <w:widowControl/>
        <w:numPr>
          <w:ilvl w:val="0"/>
          <w:numId w:val="13"/>
        </w:numPr>
        <w:spacing w:line="240" w:lineRule="auto"/>
        <w:jc w:val="left"/>
        <w:rPr>
          <w:rStyle w:val="FontStyle90"/>
        </w:rPr>
      </w:pPr>
      <w:r>
        <w:rPr>
          <w:rStyle w:val="FontStyle90"/>
        </w:rPr>
        <w:t>ОБЩИЕ ПОЛОЖЕНИЯ</w:t>
      </w:r>
    </w:p>
    <w:p w:rsidR="00FD317E" w:rsidRDefault="00FD317E" w:rsidP="00FD317E">
      <w:pPr>
        <w:pStyle w:val="Style4"/>
        <w:widowControl/>
        <w:spacing w:line="240" w:lineRule="auto"/>
        <w:ind w:left="3998"/>
        <w:jc w:val="left"/>
        <w:rPr>
          <w:rStyle w:val="FontStyle90"/>
        </w:rPr>
      </w:pPr>
    </w:p>
    <w:p w:rsidR="006D41AF" w:rsidRPr="001011CC" w:rsidRDefault="006D41AF" w:rsidP="002900FE">
      <w:pPr>
        <w:pStyle w:val="Style24"/>
        <w:widowControl/>
        <w:numPr>
          <w:ilvl w:val="0"/>
          <w:numId w:val="1"/>
        </w:numPr>
        <w:tabs>
          <w:tab w:val="left" w:pos="1493"/>
        </w:tabs>
        <w:spacing w:line="276" w:lineRule="auto"/>
        <w:ind w:firstLine="885"/>
        <w:rPr>
          <w:rStyle w:val="FontStyle91"/>
        </w:rPr>
      </w:pPr>
      <w:r w:rsidRPr="001011CC">
        <w:rPr>
          <w:rStyle w:val="FontStyle91"/>
        </w:rPr>
        <w:t xml:space="preserve">Текущий контроль качества знаний является обязательным для каждого студента и предусматривают решение следующих задач: оценка уровня освоения обучающимися учебных дисциплин и </w:t>
      </w:r>
      <w:r w:rsidR="001011CC">
        <w:rPr>
          <w:rStyle w:val="FontStyle91"/>
        </w:rPr>
        <w:t>междисциплинарных курсов</w:t>
      </w:r>
      <w:r w:rsidRPr="001011CC">
        <w:rPr>
          <w:rStyle w:val="FontStyle91"/>
        </w:rPr>
        <w:t xml:space="preserve"> в рамках реализации </w:t>
      </w:r>
      <w:r w:rsidR="002900FE">
        <w:rPr>
          <w:rStyle w:val="FontStyle91"/>
        </w:rPr>
        <w:t>программы подготовки специалистов среднего звена</w:t>
      </w:r>
      <w:r w:rsidRPr="001011CC">
        <w:rPr>
          <w:rStyle w:val="FontStyle91"/>
        </w:rPr>
        <w:t xml:space="preserve">; аттестация студентов на соответствие их персональных достижений поэтапным требованиям соответствующей </w:t>
      </w:r>
      <w:r w:rsidR="003132D6">
        <w:rPr>
          <w:rStyle w:val="FontStyle91"/>
        </w:rPr>
        <w:t>рабочей программы</w:t>
      </w:r>
      <w:r w:rsidRPr="001011CC">
        <w:rPr>
          <w:rStyle w:val="FontStyle91"/>
        </w:rPr>
        <w:t xml:space="preserve"> на основе использования современных контрольно-оценочных средств; организация самостоятельной работы студентов с учетом их индивидуальных способностей; поддержание постоянной обратной связи и принятие оптимальных решений в управлении качеством обучения.</w:t>
      </w:r>
    </w:p>
    <w:p w:rsidR="007D3AAD" w:rsidRDefault="007D3AAD" w:rsidP="007D3AAD">
      <w:pPr>
        <w:pStyle w:val="Style24"/>
        <w:widowControl/>
        <w:numPr>
          <w:ilvl w:val="0"/>
          <w:numId w:val="1"/>
        </w:numPr>
        <w:tabs>
          <w:tab w:val="left" w:pos="1493"/>
        </w:tabs>
        <w:spacing w:line="276" w:lineRule="auto"/>
        <w:ind w:firstLine="851"/>
        <w:rPr>
          <w:rStyle w:val="FontStyle91"/>
        </w:rPr>
      </w:pPr>
      <w:r w:rsidRPr="007D3AAD">
        <w:rPr>
          <w:rStyle w:val="FontStyle91"/>
        </w:rPr>
        <w:t>Формами текущего контроля могут быть: практические и лабораторные работы, различные виды опросов на семинарах и практических занятиях,  выполнение домашних заданий, контрольные работы, выполнение самостоятельных работ, тестирование по разделам дисциплин и др.</w:t>
      </w:r>
    </w:p>
    <w:p w:rsidR="006D41AF" w:rsidRDefault="006D41AF" w:rsidP="001011CC">
      <w:pPr>
        <w:pStyle w:val="Style24"/>
        <w:widowControl/>
        <w:numPr>
          <w:ilvl w:val="0"/>
          <w:numId w:val="1"/>
        </w:numPr>
        <w:tabs>
          <w:tab w:val="left" w:pos="1493"/>
        </w:tabs>
        <w:spacing w:line="276" w:lineRule="auto"/>
        <w:ind w:firstLine="883"/>
        <w:rPr>
          <w:rStyle w:val="FontStyle91"/>
        </w:rPr>
      </w:pPr>
      <w:r w:rsidRPr="001011CC">
        <w:rPr>
          <w:rStyle w:val="FontStyle91"/>
        </w:rPr>
        <w:t xml:space="preserve">Конкретные формы и процедуры текущего контроля знаний по каждой учебной дисциплине и </w:t>
      </w:r>
      <w:r w:rsidR="003132D6">
        <w:rPr>
          <w:rStyle w:val="FontStyle91"/>
        </w:rPr>
        <w:t>профессиональному модулю</w:t>
      </w:r>
      <w:r w:rsidR="006E31E3">
        <w:rPr>
          <w:rStyle w:val="FontStyle91"/>
        </w:rPr>
        <w:t xml:space="preserve"> разрабатываются преподавателями техникума</w:t>
      </w:r>
      <w:r w:rsidRPr="001011CC">
        <w:rPr>
          <w:rStyle w:val="FontStyle91"/>
        </w:rPr>
        <w:t xml:space="preserve">, сроки их проведения </w:t>
      </w:r>
      <w:r w:rsidR="006E31E3">
        <w:rPr>
          <w:rStyle w:val="FontStyle91"/>
        </w:rPr>
        <w:t>фиксируются</w:t>
      </w:r>
      <w:r w:rsidRPr="001011CC">
        <w:rPr>
          <w:rStyle w:val="FontStyle91"/>
        </w:rPr>
        <w:t xml:space="preserve"> в </w:t>
      </w:r>
      <w:r w:rsidR="001011CC">
        <w:rPr>
          <w:rStyle w:val="FontStyle91"/>
        </w:rPr>
        <w:t>рабочи</w:t>
      </w:r>
      <w:r w:rsidR="006E31E3">
        <w:rPr>
          <w:rStyle w:val="FontStyle91"/>
        </w:rPr>
        <w:t>х</w:t>
      </w:r>
      <w:r w:rsidR="001011CC">
        <w:rPr>
          <w:rStyle w:val="FontStyle91"/>
        </w:rPr>
        <w:t xml:space="preserve"> программ</w:t>
      </w:r>
      <w:r w:rsidR="006E31E3">
        <w:rPr>
          <w:rStyle w:val="FontStyle91"/>
        </w:rPr>
        <w:t>ах</w:t>
      </w:r>
      <w:r w:rsidR="001011CC">
        <w:rPr>
          <w:rStyle w:val="FontStyle91"/>
        </w:rPr>
        <w:t xml:space="preserve"> учебных дисциплин и профессиональных модулей</w:t>
      </w:r>
      <w:r w:rsidRPr="001011CC">
        <w:rPr>
          <w:rStyle w:val="FontStyle91"/>
        </w:rPr>
        <w:t xml:space="preserve"> и доводятся до сведения студентов в течение перв</w:t>
      </w:r>
      <w:r w:rsidR="006E31E3">
        <w:rPr>
          <w:rStyle w:val="FontStyle91"/>
        </w:rPr>
        <w:t xml:space="preserve">ых двух </w:t>
      </w:r>
      <w:r w:rsidRPr="001011CC">
        <w:rPr>
          <w:rStyle w:val="FontStyle91"/>
        </w:rPr>
        <w:t xml:space="preserve"> месяц</w:t>
      </w:r>
      <w:r w:rsidR="006E31E3">
        <w:rPr>
          <w:rStyle w:val="FontStyle91"/>
        </w:rPr>
        <w:t>ев</w:t>
      </w:r>
      <w:r w:rsidRPr="001011CC">
        <w:rPr>
          <w:rStyle w:val="FontStyle91"/>
        </w:rPr>
        <w:t xml:space="preserve"> от начала обучения.</w:t>
      </w:r>
    </w:p>
    <w:p w:rsidR="006D41AF" w:rsidRDefault="006D41AF" w:rsidP="001011CC">
      <w:pPr>
        <w:pStyle w:val="Style24"/>
        <w:widowControl/>
        <w:tabs>
          <w:tab w:val="left" w:pos="1579"/>
        </w:tabs>
        <w:spacing w:line="276" w:lineRule="auto"/>
        <w:ind w:firstLine="874"/>
        <w:rPr>
          <w:rStyle w:val="FontStyle91"/>
        </w:rPr>
      </w:pPr>
      <w:r w:rsidRPr="001011CC">
        <w:rPr>
          <w:rStyle w:val="FontStyle91"/>
        </w:rPr>
        <w:t>1.</w:t>
      </w:r>
      <w:r w:rsidR="007D3AAD">
        <w:rPr>
          <w:rStyle w:val="FontStyle91"/>
        </w:rPr>
        <w:t>4</w:t>
      </w:r>
      <w:r w:rsidRPr="001011CC">
        <w:rPr>
          <w:rStyle w:val="FontStyle91"/>
        </w:rPr>
        <w:t>.</w:t>
      </w:r>
      <w:r w:rsidRPr="001011CC">
        <w:rPr>
          <w:rStyle w:val="FontStyle91"/>
        </w:rPr>
        <w:tab/>
        <w:t xml:space="preserve">Для аттестации студентов </w:t>
      </w:r>
      <w:r w:rsidR="003132D6">
        <w:rPr>
          <w:rStyle w:val="FontStyle91"/>
        </w:rPr>
        <w:t>в ходе текуще</w:t>
      </w:r>
      <w:r w:rsidR="006E31E3">
        <w:rPr>
          <w:rStyle w:val="FontStyle91"/>
        </w:rPr>
        <w:t>го</w:t>
      </w:r>
      <w:r w:rsidR="002900FE">
        <w:rPr>
          <w:rStyle w:val="FontStyle91"/>
        </w:rPr>
        <w:t xml:space="preserve"> </w:t>
      </w:r>
      <w:r w:rsidR="006E31E3">
        <w:rPr>
          <w:rStyle w:val="FontStyle91"/>
        </w:rPr>
        <w:t>контроля знаний</w:t>
      </w:r>
      <w:r w:rsidR="002900FE">
        <w:rPr>
          <w:rStyle w:val="FontStyle91"/>
        </w:rPr>
        <w:t xml:space="preserve"> </w:t>
      </w:r>
      <w:r w:rsidRPr="001011CC">
        <w:rPr>
          <w:rStyle w:val="FontStyle91"/>
        </w:rPr>
        <w:t>на соответствие их</w:t>
      </w:r>
      <w:r w:rsidR="002900FE">
        <w:rPr>
          <w:rStyle w:val="FontStyle91"/>
        </w:rPr>
        <w:t xml:space="preserve"> </w:t>
      </w:r>
      <w:r w:rsidRPr="001011CC">
        <w:rPr>
          <w:rStyle w:val="FontStyle91"/>
        </w:rPr>
        <w:t xml:space="preserve">персональных достижений поэтапным требованиям соответствующей </w:t>
      </w:r>
      <w:r w:rsidR="003132D6">
        <w:rPr>
          <w:rStyle w:val="FontStyle91"/>
        </w:rPr>
        <w:t>рабочей</w:t>
      </w:r>
      <w:r w:rsidRPr="001011CC">
        <w:rPr>
          <w:rStyle w:val="FontStyle91"/>
        </w:rPr>
        <w:t xml:space="preserve"> программы  создаются фонды контрольно-оценочных средств</w:t>
      </w:r>
      <w:r w:rsidR="003132D6">
        <w:rPr>
          <w:rStyle w:val="FontStyle91"/>
        </w:rPr>
        <w:t>.</w:t>
      </w:r>
    </w:p>
    <w:p w:rsidR="007D3AAD" w:rsidRPr="001011CC" w:rsidRDefault="007D3AAD" w:rsidP="007D3AAD">
      <w:pPr>
        <w:pStyle w:val="Style24"/>
        <w:widowControl/>
        <w:tabs>
          <w:tab w:val="left" w:pos="1579"/>
        </w:tabs>
        <w:spacing w:line="276" w:lineRule="auto"/>
        <w:ind w:firstLine="851"/>
        <w:rPr>
          <w:rStyle w:val="FontStyle91"/>
        </w:rPr>
      </w:pPr>
      <w:r>
        <w:rPr>
          <w:rStyle w:val="FontStyle91"/>
        </w:rPr>
        <w:lastRenderedPageBreak/>
        <w:t xml:space="preserve">1.5.  </w:t>
      </w:r>
      <w:r w:rsidRPr="007D3AAD">
        <w:rPr>
          <w:rStyle w:val="FontStyle91"/>
        </w:rPr>
        <w:t>Текущий контроль успеваемости предусматривает</w:t>
      </w:r>
      <w:r>
        <w:rPr>
          <w:rStyle w:val="FontStyle91"/>
        </w:rPr>
        <w:t xml:space="preserve"> </w:t>
      </w:r>
      <w:r w:rsidRPr="007D3AAD">
        <w:rPr>
          <w:rStyle w:val="FontStyle91"/>
        </w:rPr>
        <w:t>систематическую проверку качества получаемых студентами знаний и</w:t>
      </w:r>
      <w:r>
        <w:rPr>
          <w:rStyle w:val="FontStyle91"/>
        </w:rPr>
        <w:t xml:space="preserve"> </w:t>
      </w:r>
      <w:r w:rsidRPr="007D3AAD">
        <w:rPr>
          <w:rStyle w:val="FontStyle91"/>
        </w:rPr>
        <w:t>практических навыков по всем дисциплинам учебного плана.</w:t>
      </w:r>
    </w:p>
    <w:p w:rsidR="006D41AF" w:rsidRDefault="006D41AF" w:rsidP="001011CC">
      <w:pPr>
        <w:pStyle w:val="Style24"/>
        <w:widowControl/>
        <w:tabs>
          <w:tab w:val="left" w:pos="1843"/>
        </w:tabs>
        <w:spacing w:line="276" w:lineRule="auto"/>
        <w:ind w:firstLine="874"/>
        <w:rPr>
          <w:rStyle w:val="FontStyle91"/>
        </w:rPr>
      </w:pPr>
      <w:r w:rsidRPr="001011CC">
        <w:rPr>
          <w:rStyle w:val="FontStyle91"/>
        </w:rPr>
        <w:t>1.</w:t>
      </w:r>
      <w:r w:rsidR="006E31E3">
        <w:rPr>
          <w:rStyle w:val="FontStyle91"/>
        </w:rPr>
        <w:t>4</w:t>
      </w:r>
      <w:r w:rsidRPr="001011CC">
        <w:rPr>
          <w:rStyle w:val="FontStyle91"/>
        </w:rPr>
        <w:t>.</w:t>
      </w:r>
      <w:r w:rsidRPr="001011CC">
        <w:rPr>
          <w:rStyle w:val="FontStyle91"/>
        </w:rPr>
        <w:tab/>
        <w:t>Программы текуще</w:t>
      </w:r>
      <w:r w:rsidR="006E31E3">
        <w:rPr>
          <w:rStyle w:val="FontStyle91"/>
        </w:rPr>
        <w:t>го</w:t>
      </w:r>
      <w:r w:rsidR="002900FE">
        <w:rPr>
          <w:rStyle w:val="FontStyle91"/>
        </w:rPr>
        <w:t xml:space="preserve"> </w:t>
      </w:r>
      <w:r w:rsidR="006E31E3">
        <w:rPr>
          <w:rStyle w:val="FontStyle91"/>
        </w:rPr>
        <w:t xml:space="preserve">контроля знаний </w:t>
      </w:r>
      <w:r w:rsidRPr="001011CC">
        <w:rPr>
          <w:rStyle w:val="FontStyle91"/>
        </w:rPr>
        <w:t>студентов по дисциплинам и междисциплинарным курсам</w:t>
      </w:r>
      <w:r w:rsidR="002900FE">
        <w:rPr>
          <w:rStyle w:val="FontStyle91"/>
        </w:rPr>
        <w:t xml:space="preserve"> </w:t>
      </w:r>
      <w:r w:rsidRPr="001011CC">
        <w:rPr>
          <w:rStyle w:val="FontStyle91"/>
        </w:rPr>
        <w:t>профессионального цикла максимально приближены к условиям их будущей</w:t>
      </w:r>
      <w:r w:rsidR="002900FE">
        <w:rPr>
          <w:rStyle w:val="FontStyle91"/>
        </w:rPr>
        <w:t xml:space="preserve"> </w:t>
      </w:r>
      <w:r w:rsidRPr="001011CC">
        <w:rPr>
          <w:rStyle w:val="FontStyle91"/>
        </w:rPr>
        <w:t>профессиональной деятельности.</w:t>
      </w:r>
    </w:p>
    <w:p w:rsidR="006E31E3" w:rsidRDefault="006E31E3" w:rsidP="001011CC">
      <w:pPr>
        <w:pStyle w:val="Style24"/>
        <w:widowControl/>
        <w:tabs>
          <w:tab w:val="left" w:pos="1843"/>
        </w:tabs>
        <w:spacing w:line="276" w:lineRule="auto"/>
        <w:ind w:firstLine="874"/>
        <w:rPr>
          <w:rStyle w:val="FontStyle91"/>
        </w:rPr>
      </w:pPr>
      <w:r>
        <w:rPr>
          <w:rStyle w:val="FontStyle91"/>
        </w:rPr>
        <w:t xml:space="preserve">1.5.  Организация и проведение </w:t>
      </w:r>
      <w:r w:rsidR="00E60957" w:rsidRPr="001011CC">
        <w:rPr>
          <w:rStyle w:val="FontStyle91"/>
        </w:rPr>
        <w:t>текуще</w:t>
      </w:r>
      <w:r w:rsidR="00E60957">
        <w:rPr>
          <w:rStyle w:val="FontStyle91"/>
        </w:rPr>
        <w:t>го</w:t>
      </w:r>
      <w:r w:rsidR="002900FE">
        <w:rPr>
          <w:rStyle w:val="FontStyle91"/>
        </w:rPr>
        <w:t xml:space="preserve"> </w:t>
      </w:r>
      <w:r w:rsidR="00E60957">
        <w:rPr>
          <w:rStyle w:val="FontStyle91"/>
        </w:rPr>
        <w:t xml:space="preserve">контроля знаний </w:t>
      </w:r>
      <w:r>
        <w:rPr>
          <w:rStyle w:val="FontStyle91"/>
        </w:rPr>
        <w:t>студентов по дисциплинам и междисциплинарным курсам возложена на преподавателя соответствующей дисциплины.</w:t>
      </w:r>
    </w:p>
    <w:p w:rsidR="002900FE" w:rsidRDefault="002900FE" w:rsidP="001011CC">
      <w:pPr>
        <w:pStyle w:val="Style24"/>
        <w:widowControl/>
        <w:tabs>
          <w:tab w:val="left" w:pos="1843"/>
        </w:tabs>
        <w:spacing w:line="276" w:lineRule="auto"/>
        <w:ind w:firstLine="874"/>
        <w:rPr>
          <w:rStyle w:val="FontStyle91"/>
        </w:rPr>
      </w:pPr>
      <w:r>
        <w:rPr>
          <w:rStyle w:val="FontStyle91"/>
        </w:rPr>
        <w:t>1.6. Результаты текущего контроля знаний фиксируются в журнале</w:t>
      </w:r>
      <w:r w:rsidRPr="002900FE">
        <w:rPr>
          <w:rStyle w:val="FontStyle91"/>
        </w:rPr>
        <w:t xml:space="preserve"> </w:t>
      </w:r>
      <w:r>
        <w:rPr>
          <w:rStyle w:val="FontStyle91"/>
        </w:rPr>
        <w:t>учета учебных занятий.</w:t>
      </w:r>
    </w:p>
    <w:p w:rsidR="007D3AAD" w:rsidRPr="001011CC" w:rsidRDefault="007D3AAD" w:rsidP="001011CC">
      <w:pPr>
        <w:pStyle w:val="Style24"/>
        <w:widowControl/>
        <w:tabs>
          <w:tab w:val="left" w:pos="1843"/>
        </w:tabs>
        <w:spacing w:line="276" w:lineRule="auto"/>
        <w:ind w:firstLine="874"/>
        <w:rPr>
          <w:rStyle w:val="FontStyle91"/>
        </w:rPr>
      </w:pPr>
    </w:p>
    <w:p w:rsidR="007D3AAD" w:rsidRDefault="007D3AAD" w:rsidP="00FD317E">
      <w:pPr>
        <w:pStyle w:val="Style4"/>
        <w:widowControl/>
        <w:numPr>
          <w:ilvl w:val="0"/>
          <w:numId w:val="13"/>
        </w:numPr>
        <w:spacing w:line="276" w:lineRule="auto"/>
        <w:ind w:left="0" w:firstLine="0"/>
        <w:rPr>
          <w:b/>
          <w:sz w:val="26"/>
          <w:szCs w:val="26"/>
        </w:rPr>
      </w:pPr>
      <w:r w:rsidRPr="007D3AAD">
        <w:rPr>
          <w:b/>
          <w:sz w:val="26"/>
          <w:szCs w:val="26"/>
        </w:rPr>
        <w:t>ЦЕЛИ</w:t>
      </w:r>
      <w:r w:rsidR="00E66C0B">
        <w:rPr>
          <w:b/>
          <w:sz w:val="26"/>
          <w:szCs w:val="26"/>
        </w:rPr>
        <w:t>,</w:t>
      </w:r>
      <w:r w:rsidRPr="007D3AAD">
        <w:rPr>
          <w:b/>
          <w:sz w:val="26"/>
          <w:szCs w:val="26"/>
        </w:rPr>
        <w:t xml:space="preserve"> ЗАДАЧИ </w:t>
      </w:r>
      <w:r w:rsidR="00E66C0B">
        <w:rPr>
          <w:b/>
          <w:sz w:val="26"/>
          <w:szCs w:val="26"/>
        </w:rPr>
        <w:t xml:space="preserve">И ПОРЯДОК </w:t>
      </w:r>
      <w:r w:rsidRPr="007D3AAD">
        <w:rPr>
          <w:b/>
          <w:sz w:val="26"/>
          <w:szCs w:val="26"/>
        </w:rPr>
        <w:t>ТЕКУЩЕГО КОНТРОЛЯ УСПЕВАЕМОСТИ. СИСТЕМА ОЦЕНОК</w:t>
      </w:r>
    </w:p>
    <w:p w:rsidR="00FD317E" w:rsidRPr="007D3AAD" w:rsidRDefault="00FD317E" w:rsidP="00FD317E">
      <w:pPr>
        <w:pStyle w:val="Style4"/>
        <w:widowControl/>
        <w:spacing w:line="276" w:lineRule="auto"/>
        <w:jc w:val="left"/>
        <w:rPr>
          <w:b/>
          <w:sz w:val="26"/>
          <w:szCs w:val="26"/>
        </w:rPr>
      </w:pP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7D3AAD">
        <w:rPr>
          <w:sz w:val="26"/>
          <w:szCs w:val="26"/>
        </w:rPr>
        <w:t xml:space="preserve"> Целью текущего контроля успеваемости является оценка качества</w:t>
      </w:r>
      <w:r>
        <w:rPr>
          <w:sz w:val="26"/>
          <w:szCs w:val="26"/>
        </w:rPr>
        <w:t xml:space="preserve"> </w:t>
      </w:r>
      <w:r w:rsidRPr="007D3AAD">
        <w:rPr>
          <w:sz w:val="26"/>
          <w:szCs w:val="26"/>
        </w:rPr>
        <w:t xml:space="preserve">освоения обучающимися </w:t>
      </w:r>
      <w:r>
        <w:rPr>
          <w:sz w:val="26"/>
          <w:szCs w:val="26"/>
        </w:rPr>
        <w:t>программы подготовки специалистов среднего звена</w:t>
      </w:r>
      <w:r w:rsidRPr="007D3AAD">
        <w:rPr>
          <w:sz w:val="26"/>
          <w:szCs w:val="26"/>
        </w:rPr>
        <w:t xml:space="preserve"> СПО в</w:t>
      </w:r>
      <w:r>
        <w:rPr>
          <w:sz w:val="26"/>
          <w:szCs w:val="26"/>
        </w:rPr>
        <w:t xml:space="preserve"> </w:t>
      </w:r>
      <w:r w:rsidRPr="007D3AAD">
        <w:rPr>
          <w:sz w:val="26"/>
          <w:szCs w:val="26"/>
        </w:rPr>
        <w:t>течение учебного семестра, повышение уровня текущей успеваемости и</w:t>
      </w:r>
      <w:r>
        <w:rPr>
          <w:sz w:val="26"/>
          <w:szCs w:val="26"/>
        </w:rPr>
        <w:t xml:space="preserve"> </w:t>
      </w:r>
      <w:r w:rsidRPr="007D3AAD">
        <w:rPr>
          <w:sz w:val="26"/>
          <w:szCs w:val="26"/>
        </w:rPr>
        <w:t>активизация самостоятельной подготовки студентов.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 w:rsidRPr="007D3AAD">
        <w:rPr>
          <w:sz w:val="26"/>
          <w:szCs w:val="26"/>
        </w:rPr>
        <w:t xml:space="preserve"> Задачами текущего контроля знаний являются: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 xml:space="preserve">- повышение уровня </w:t>
      </w:r>
      <w:r>
        <w:rPr>
          <w:sz w:val="26"/>
          <w:szCs w:val="26"/>
        </w:rPr>
        <w:t xml:space="preserve">и </w:t>
      </w:r>
      <w:r w:rsidRPr="007D3AAD">
        <w:rPr>
          <w:sz w:val="26"/>
          <w:szCs w:val="26"/>
        </w:rPr>
        <w:t>качества остаточных знаний студентов;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- контроль самостоятельной работы студентов в течение семестра;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- приобретение и развитие у студентов навыков самостоятельной работы с</w:t>
      </w:r>
      <w:r>
        <w:rPr>
          <w:sz w:val="26"/>
          <w:szCs w:val="26"/>
        </w:rPr>
        <w:t xml:space="preserve"> </w:t>
      </w:r>
      <w:r w:rsidRPr="007D3AAD">
        <w:rPr>
          <w:sz w:val="26"/>
          <w:szCs w:val="26"/>
        </w:rPr>
        <w:t>учебным материалом;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- получение оперативной информации о ходе усвоения учебного материала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студентами;</w:t>
      </w:r>
    </w:p>
    <w:p w:rsidR="007D3AAD" w:rsidRPr="007D3AAD" w:rsidRDefault="007D3AAD" w:rsidP="007D3AAD">
      <w:pPr>
        <w:pStyle w:val="Style4"/>
        <w:widowControl/>
        <w:spacing w:line="276" w:lineRule="auto"/>
        <w:ind w:firstLine="851"/>
        <w:jc w:val="both"/>
        <w:rPr>
          <w:sz w:val="26"/>
          <w:szCs w:val="26"/>
        </w:rPr>
      </w:pPr>
      <w:r w:rsidRPr="007D3AAD">
        <w:rPr>
          <w:sz w:val="26"/>
          <w:szCs w:val="26"/>
        </w:rPr>
        <w:t>- контроль над организацией учебного процесса по отдельным дисциплинам.</w:t>
      </w:r>
    </w:p>
    <w:p w:rsidR="00514D34" w:rsidRPr="001011CC" w:rsidRDefault="00514D34" w:rsidP="00514D34">
      <w:pPr>
        <w:pStyle w:val="Style24"/>
        <w:widowControl/>
        <w:tabs>
          <w:tab w:val="left" w:pos="1416"/>
        </w:tabs>
        <w:spacing w:line="276" w:lineRule="auto"/>
        <w:ind w:firstLine="851"/>
        <w:rPr>
          <w:rStyle w:val="FontStyle91"/>
        </w:rPr>
      </w:pPr>
      <w:r>
        <w:rPr>
          <w:rStyle w:val="FontStyle91"/>
        </w:rPr>
        <w:t>2.</w:t>
      </w:r>
      <w:r w:rsidR="00357CE0">
        <w:rPr>
          <w:rStyle w:val="FontStyle91"/>
        </w:rPr>
        <w:t>3</w:t>
      </w:r>
      <w:r>
        <w:rPr>
          <w:rStyle w:val="FontStyle91"/>
        </w:rPr>
        <w:t>. К</w:t>
      </w:r>
      <w:r w:rsidRPr="001011CC">
        <w:rPr>
          <w:rStyle w:val="FontStyle91"/>
        </w:rPr>
        <w:t xml:space="preserve">онтрольно-оценочные средства разрабатываются преподавателями </w:t>
      </w:r>
      <w:r>
        <w:rPr>
          <w:rStyle w:val="FontStyle91"/>
        </w:rPr>
        <w:t xml:space="preserve">в соответствии с Положением о формировании фонда оценочных средств, для проведения текущего контроля успеваемости и промежуточной аттестации студентов </w:t>
      </w:r>
      <w:r w:rsidR="00A176E0">
        <w:rPr>
          <w:rFonts w:eastAsiaTheme="minorHAnsi"/>
          <w:sz w:val="26"/>
          <w:szCs w:val="26"/>
          <w:lang w:eastAsia="en-US"/>
        </w:rPr>
        <w:t>АН ПОО «Уральский промышленно-экономический техникум</w:t>
      </w:r>
      <w:r w:rsidR="00A176E0" w:rsidRPr="00EB48C5">
        <w:rPr>
          <w:rFonts w:eastAsiaTheme="minorHAnsi"/>
          <w:sz w:val="26"/>
          <w:szCs w:val="26"/>
          <w:lang w:eastAsia="en-US"/>
        </w:rPr>
        <w:t>»</w:t>
      </w:r>
      <w:r>
        <w:rPr>
          <w:rStyle w:val="FontStyle91"/>
        </w:rPr>
        <w:t xml:space="preserve"> </w:t>
      </w:r>
      <w:r w:rsidRPr="001011CC">
        <w:rPr>
          <w:rStyle w:val="FontStyle91"/>
        </w:rPr>
        <w:t xml:space="preserve">и согласовываются на заседаниях цикловых комиссий не позднее, чем за </w:t>
      </w:r>
      <w:r>
        <w:rPr>
          <w:rStyle w:val="FontStyle91"/>
        </w:rPr>
        <w:t>одну неделю</w:t>
      </w:r>
      <w:r w:rsidRPr="001011CC">
        <w:rPr>
          <w:rStyle w:val="FontStyle91"/>
        </w:rPr>
        <w:t xml:space="preserve"> до проведения </w:t>
      </w:r>
      <w:r>
        <w:rPr>
          <w:rStyle w:val="FontStyle91"/>
        </w:rPr>
        <w:t>соответствующего контроля знаний</w:t>
      </w:r>
      <w:r w:rsidRPr="001011CC">
        <w:rPr>
          <w:rStyle w:val="FontStyle91"/>
        </w:rPr>
        <w:t xml:space="preserve">. </w:t>
      </w:r>
    </w:p>
    <w:p w:rsidR="00264442" w:rsidRDefault="00B76D5E" w:rsidP="00B76D5E">
      <w:pPr>
        <w:pStyle w:val="Style24"/>
        <w:widowControl/>
        <w:tabs>
          <w:tab w:val="left" w:pos="993"/>
        </w:tabs>
        <w:spacing w:line="276" w:lineRule="auto"/>
        <w:ind w:firstLine="851"/>
        <w:rPr>
          <w:rStyle w:val="FontStyle91"/>
        </w:rPr>
      </w:pPr>
      <w:r>
        <w:rPr>
          <w:rStyle w:val="FontStyle91"/>
        </w:rPr>
        <w:t>2.</w:t>
      </w:r>
      <w:r w:rsidR="00357CE0">
        <w:rPr>
          <w:rStyle w:val="FontStyle91"/>
        </w:rPr>
        <w:t>4</w:t>
      </w:r>
      <w:r>
        <w:rPr>
          <w:rStyle w:val="FontStyle91"/>
        </w:rPr>
        <w:t xml:space="preserve">. </w:t>
      </w:r>
      <w:r w:rsidR="00264442">
        <w:rPr>
          <w:rStyle w:val="FontStyle91"/>
        </w:rPr>
        <w:t>К</w:t>
      </w:r>
      <w:r w:rsidR="006D41AF" w:rsidRPr="001011CC">
        <w:rPr>
          <w:rStyle w:val="FontStyle91"/>
        </w:rPr>
        <w:t>онтрольн</w:t>
      </w:r>
      <w:r w:rsidR="00264442">
        <w:rPr>
          <w:rStyle w:val="FontStyle91"/>
        </w:rPr>
        <w:t>о-оценочные средства</w:t>
      </w:r>
      <w:r w:rsidR="002900FE">
        <w:rPr>
          <w:rStyle w:val="FontStyle91"/>
        </w:rPr>
        <w:t xml:space="preserve"> </w:t>
      </w:r>
      <w:r w:rsidR="00264442">
        <w:rPr>
          <w:rStyle w:val="FontStyle91"/>
        </w:rPr>
        <w:t xml:space="preserve">для проведения текущего контроля знаний </w:t>
      </w:r>
      <w:r w:rsidR="006D41AF" w:rsidRPr="001011CC">
        <w:rPr>
          <w:rStyle w:val="FontStyle91"/>
        </w:rPr>
        <w:t>составляются на основе рабочей программы дисциплины, профессионального модуля и должны целостно отражать объем проверяемых знаний и умений, содержательные критерии общих и профессиональных компетенций.</w:t>
      </w:r>
    </w:p>
    <w:p w:rsidR="00514D34" w:rsidRDefault="00B76D5E" w:rsidP="007747A7">
      <w:pPr>
        <w:pStyle w:val="Style24"/>
        <w:widowControl/>
        <w:tabs>
          <w:tab w:val="left" w:pos="993"/>
        </w:tabs>
        <w:spacing w:line="276" w:lineRule="auto"/>
        <w:ind w:firstLine="851"/>
        <w:rPr>
          <w:rStyle w:val="FontStyle91"/>
        </w:rPr>
      </w:pPr>
      <w:r>
        <w:rPr>
          <w:rStyle w:val="FontStyle91"/>
        </w:rPr>
        <w:t>2.</w:t>
      </w:r>
      <w:r w:rsidR="00357CE0">
        <w:rPr>
          <w:rStyle w:val="FontStyle91"/>
        </w:rPr>
        <w:t>5</w:t>
      </w:r>
      <w:r>
        <w:rPr>
          <w:rStyle w:val="FontStyle91"/>
        </w:rPr>
        <w:t>. К</w:t>
      </w:r>
      <w:r w:rsidR="006D41AF" w:rsidRPr="001011CC">
        <w:rPr>
          <w:rStyle w:val="FontStyle91"/>
        </w:rPr>
        <w:t xml:space="preserve">онтрольно-оценочные средства включают теоретические и практические вопросы, позволяющие оценить степень освоения </w:t>
      </w:r>
      <w:r>
        <w:rPr>
          <w:rStyle w:val="FontStyle91"/>
        </w:rPr>
        <w:t xml:space="preserve">знаний и умений и </w:t>
      </w:r>
      <w:r>
        <w:rPr>
          <w:rStyle w:val="FontStyle91"/>
        </w:rPr>
        <w:lastRenderedPageBreak/>
        <w:t>приобретения практического опыта по</w:t>
      </w:r>
      <w:r w:rsidR="006D41AF" w:rsidRPr="001011CC">
        <w:rPr>
          <w:rStyle w:val="FontStyle91"/>
        </w:rPr>
        <w:t xml:space="preserve"> учебны</w:t>
      </w:r>
      <w:r>
        <w:rPr>
          <w:rStyle w:val="FontStyle91"/>
        </w:rPr>
        <w:t>м</w:t>
      </w:r>
      <w:r w:rsidR="006D41AF" w:rsidRPr="001011CC">
        <w:rPr>
          <w:rStyle w:val="FontStyle91"/>
        </w:rPr>
        <w:t xml:space="preserve"> дисциплин</w:t>
      </w:r>
      <w:r>
        <w:rPr>
          <w:rStyle w:val="FontStyle91"/>
        </w:rPr>
        <w:t>ам и междисциплинарным курсам.</w:t>
      </w:r>
    </w:p>
    <w:p w:rsidR="006D41AF" w:rsidRPr="001011CC" w:rsidRDefault="00514D34" w:rsidP="007747A7">
      <w:pPr>
        <w:pStyle w:val="Style24"/>
        <w:widowControl/>
        <w:tabs>
          <w:tab w:val="left" w:pos="993"/>
        </w:tabs>
        <w:spacing w:line="276" w:lineRule="auto"/>
        <w:ind w:firstLine="851"/>
        <w:rPr>
          <w:rStyle w:val="FontStyle91"/>
        </w:rPr>
      </w:pPr>
      <w:r>
        <w:rPr>
          <w:rStyle w:val="FontStyle91"/>
        </w:rPr>
        <w:t>2.</w:t>
      </w:r>
      <w:r w:rsidR="00357CE0">
        <w:rPr>
          <w:rStyle w:val="FontStyle91"/>
        </w:rPr>
        <w:t>6</w:t>
      </w:r>
      <w:r>
        <w:rPr>
          <w:rStyle w:val="FontStyle91"/>
        </w:rPr>
        <w:t xml:space="preserve">. </w:t>
      </w:r>
      <w:r w:rsidR="00B76D5E">
        <w:rPr>
          <w:rStyle w:val="FontStyle91"/>
        </w:rPr>
        <w:t>К</w:t>
      </w:r>
      <w:r w:rsidR="00B76D5E" w:rsidRPr="001011CC">
        <w:rPr>
          <w:rStyle w:val="FontStyle91"/>
        </w:rPr>
        <w:t>онтрольно-оценочные средства включают</w:t>
      </w:r>
      <w:r w:rsidR="004D0282">
        <w:rPr>
          <w:rStyle w:val="FontStyle91"/>
        </w:rPr>
        <w:t>:</w:t>
      </w:r>
      <w:r w:rsidR="007747A7">
        <w:rPr>
          <w:rStyle w:val="FontStyle91"/>
        </w:rPr>
        <w:t xml:space="preserve"> </w:t>
      </w:r>
      <w:r w:rsidR="00FD317E">
        <w:rPr>
          <w:rStyle w:val="FontStyle91"/>
        </w:rPr>
        <w:t xml:space="preserve">семинары, </w:t>
      </w:r>
      <w:r w:rsidR="007747A7">
        <w:rPr>
          <w:rStyle w:val="FontStyle91"/>
        </w:rPr>
        <w:t>деловые (ролевые) игры, диспуты, дебаты, дискуссии, круглые столы, контрольные работы, тесты, разноуровневые задачи и задания, кейс-задачи (</w:t>
      </w:r>
      <w:r w:rsidR="007747A7" w:rsidRPr="001011CC">
        <w:rPr>
          <w:rStyle w:val="FontStyle91"/>
        </w:rPr>
        <w:t>проблемные и творческие задания</w:t>
      </w:r>
      <w:r w:rsidR="007747A7">
        <w:rPr>
          <w:rStyle w:val="FontStyle91"/>
        </w:rPr>
        <w:t xml:space="preserve"> для осмысления реальной профессионально-ориентированной ситуации)</w:t>
      </w:r>
      <w:r>
        <w:rPr>
          <w:rStyle w:val="FontStyle91"/>
        </w:rPr>
        <w:t>, а также</w:t>
      </w:r>
      <w:r w:rsidR="007747A7">
        <w:rPr>
          <w:rStyle w:val="FontStyle91"/>
        </w:rPr>
        <w:t xml:space="preserve">  задания для самостоятельной работы: сообщения, доклады, рефераты, творческие задания, эссе, портфолио</w:t>
      </w:r>
      <w:r w:rsidR="004D0282">
        <w:rPr>
          <w:rStyle w:val="FontStyle91"/>
        </w:rPr>
        <w:t>.</w:t>
      </w:r>
    </w:p>
    <w:p w:rsidR="004D0282" w:rsidRDefault="004D0282" w:rsidP="004D0282">
      <w:pPr>
        <w:pStyle w:val="Style24"/>
        <w:widowControl/>
        <w:tabs>
          <w:tab w:val="left" w:pos="1488"/>
        </w:tabs>
        <w:spacing w:line="276" w:lineRule="auto"/>
        <w:ind w:firstLine="851"/>
        <w:rPr>
          <w:rStyle w:val="FontStyle91"/>
        </w:rPr>
      </w:pPr>
      <w:r>
        <w:rPr>
          <w:rStyle w:val="FontStyle91"/>
        </w:rPr>
        <w:t>2.</w:t>
      </w:r>
      <w:r w:rsidR="00357CE0">
        <w:rPr>
          <w:rStyle w:val="FontStyle91"/>
        </w:rPr>
        <w:t>6</w:t>
      </w:r>
      <w:r>
        <w:rPr>
          <w:rStyle w:val="FontStyle91"/>
        </w:rPr>
        <w:t>. Система оценивания знаний и умений при текущем контроле знаний по дисциплинам и междисциплинарным курсам разрабатывается преподавателем и может быть балльной или рейтинговой.</w:t>
      </w:r>
    </w:p>
    <w:p w:rsidR="00886A32" w:rsidRPr="00886A32" w:rsidRDefault="00886A32" w:rsidP="00886A32">
      <w:pPr>
        <w:ind w:firstLine="851"/>
        <w:jc w:val="both"/>
        <w:rPr>
          <w:sz w:val="26"/>
          <w:szCs w:val="26"/>
        </w:rPr>
      </w:pPr>
      <w:r>
        <w:rPr>
          <w:rStyle w:val="FontStyle91"/>
        </w:rPr>
        <w:t xml:space="preserve">2.7. </w:t>
      </w:r>
      <w:r w:rsidRPr="00886A32">
        <w:rPr>
          <w:sz w:val="26"/>
          <w:szCs w:val="26"/>
        </w:rPr>
        <w:t xml:space="preserve">Для </w:t>
      </w:r>
      <w:r w:rsidR="000133AC">
        <w:rPr>
          <w:sz w:val="26"/>
          <w:szCs w:val="26"/>
        </w:rPr>
        <w:t>перевода любой системы оценивания знаний и умений при текущем контроле знаний в</w:t>
      </w:r>
      <w:r w:rsidRPr="00886A32">
        <w:rPr>
          <w:sz w:val="26"/>
          <w:szCs w:val="26"/>
        </w:rPr>
        <w:t xml:space="preserve"> оценк</w:t>
      </w:r>
      <w:r w:rsidR="000133AC">
        <w:rPr>
          <w:sz w:val="26"/>
          <w:szCs w:val="26"/>
        </w:rPr>
        <w:t>у</w:t>
      </w:r>
      <w:r>
        <w:rPr>
          <w:sz w:val="26"/>
          <w:szCs w:val="26"/>
        </w:rPr>
        <w:t xml:space="preserve"> для выставления в журнал учета учебных занятий</w:t>
      </w:r>
      <w:r w:rsidRPr="00886A32">
        <w:rPr>
          <w:sz w:val="26"/>
          <w:szCs w:val="26"/>
        </w:rPr>
        <w:t xml:space="preserve">  следует применить универсальную шкалу </w:t>
      </w:r>
      <w:r w:rsidR="000133AC">
        <w:rPr>
          <w:sz w:val="26"/>
          <w:szCs w:val="26"/>
        </w:rPr>
        <w:t>перевода</w:t>
      </w:r>
      <w:r w:rsidRPr="00886A32">
        <w:rPr>
          <w:sz w:val="26"/>
          <w:szCs w:val="26"/>
        </w:rPr>
        <w:t>:</w:t>
      </w:r>
    </w:p>
    <w:p w:rsidR="00886A32" w:rsidRPr="00886A32" w:rsidRDefault="00886A32" w:rsidP="00886A32">
      <w:pPr>
        <w:ind w:firstLine="851"/>
        <w:jc w:val="both"/>
        <w:rPr>
          <w:color w:val="000000"/>
          <w:sz w:val="26"/>
          <w:szCs w:val="26"/>
        </w:rPr>
      </w:pPr>
      <w:r w:rsidRPr="00886A32">
        <w:rPr>
          <w:color w:val="000000"/>
          <w:sz w:val="26"/>
          <w:szCs w:val="26"/>
        </w:rPr>
        <w:t>«неудовлетворительно» - сумма баллов составляет менее 50% от общей суммы баллов,</w:t>
      </w:r>
    </w:p>
    <w:p w:rsidR="00886A32" w:rsidRPr="00886A32" w:rsidRDefault="00886A32" w:rsidP="00886A32">
      <w:pPr>
        <w:ind w:firstLine="851"/>
        <w:jc w:val="both"/>
        <w:rPr>
          <w:color w:val="000000"/>
          <w:sz w:val="26"/>
          <w:szCs w:val="26"/>
        </w:rPr>
      </w:pPr>
      <w:r w:rsidRPr="00886A32">
        <w:rPr>
          <w:color w:val="000000"/>
          <w:sz w:val="26"/>
          <w:szCs w:val="26"/>
        </w:rPr>
        <w:t>«удовлетворительно» - сумма баллов составляет от 51% до 70% от общей суммы баллов,</w:t>
      </w:r>
    </w:p>
    <w:p w:rsidR="00886A32" w:rsidRPr="00886A32" w:rsidRDefault="00886A32" w:rsidP="00886A32">
      <w:pPr>
        <w:ind w:firstLine="851"/>
        <w:jc w:val="both"/>
        <w:rPr>
          <w:color w:val="000000"/>
          <w:sz w:val="26"/>
          <w:szCs w:val="26"/>
        </w:rPr>
      </w:pPr>
      <w:r w:rsidRPr="00886A32">
        <w:rPr>
          <w:color w:val="000000"/>
          <w:sz w:val="26"/>
          <w:szCs w:val="26"/>
        </w:rPr>
        <w:t>«хорошо» - сумма баллов составляет от 71% до 90% от общей суммы баллов,</w:t>
      </w:r>
    </w:p>
    <w:p w:rsidR="00886A32" w:rsidRPr="00886A32" w:rsidRDefault="00886A32" w:rsidP="00886A32">
      <w:pPr>
        <w:ind w:firstLine="851"/>
        <w:jc w:val="both"/>
        <w:rPr>
          <w:color w:val="000000"/>
          <w:sz w:val="26"/>
          <w:szCs w:val="26"/>
        </w:rPr>
      </w:pPr>
      <w:r w:rsidRPr="00886A32">
        <w:rPr>
          <w:color w:val="000000"/>
          <w:sz w:val="26"/>
          <w:szCs w:val="26"/>
        </w:rPr>
        <w:t>«отлично» - сумма баллов составляет от 91% до 100% от общей суммы баллов.</w:t>
      </w:r>
    </w:p>
    <w:p w:rsidR="00886A32" w:rsidRPr="00886A32" w:rsidRDefault="00886A32" w:rsidP="00886A32">
      <w:pPr>
        <w:ind w:firstLine="851"/>
        <w:jc w:val="both"/>
        <w:rPr>
          <w:sz w:val="26"/>
          <w:szCs w:val="26"/>
        </w:rPr>
      </w:pPr>
    </w:p>
    <w:p w:rsidR="00886A32" w:rsidRPr="00886A32" w:rsidRDefault="00886A32" w:rsidP="004D0282">
      <w:pPr>
        <w:pStyle w:val="Style24"/>
        <w:widowControl/>
        <w:tabs>
          <w:tab w:val="left" w:pos="1488"/>
        </w:tabs>
        <w:spacing w:line="276" w:lineRule="auto"/>
        <w:ind w:firstLine="851"/>
        <w:rPr>
          <w:rStyle w:val="FontStyle91"/>
          <w:u w:val="single"/>
        </w:rPr>
      </w:pPr>
    </w:p>
    <w:sectPr w:rsidR="00886A32" w:rsidRPr="00886A32" w:rsidSect="004D0282">
      <w:type w:val="continuous"/>
      <w:pgSz w:w="11907" w:h="16839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FD" w:rsidRDefault="003F79FD" w:rsidP="007D3AAD">
      <w:r>
        <w:separator/>
      </w:r>
    </w:p>
  </w:endnote>
  <w:endnote w:type="continuationSeparator" w:id="0">
    <w:p w:rsidR="003F79FD" w:rsidRDefault="003F79FD" w:rsidP="007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FD" w:rsidRDefault="003F79FD" w:rsidP="007D3AAD">
      <w:r>
        <w:separator/>
      </w:r>
    </w:p>
  </w:footnote>
  <w:footnote w:type="continuationSeparator" w:id="0">
    <w:p w:rsidR="003F79FD" w:rsidRDefault="003F79FD" w:rsidP="007D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285E50"/>
    <w:lvl w:ilvl="0">
      <w:numFmt w:val="bullet"/>
      <w:lvlText w:val="*"/>
      <w:lvlJc w:val="left"/>
      <w:pPr>
        <w:ind w:left="-142" w:firstLine="0"/>
      </w:pPr>
    </w:lvl>
  </w:abstractNum>
  <w:abstractNum w:abstractNumId="1" w15:restartNumberingAfterBreak="0">
    <w:nsid w:val="13D91543"/>
    <w:multiLevelType w:val="singleLevel"/>
    <w:tmpl w:val="BA609A16"/>
    <w:lvl w:ilvl="0">
      <w:start w:val="12"/>
      <w:numFmt w:val="decimal"/>
      <w:lvlText w:val="3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105160"/>
    <w:multiLevelType w:val="singleLevel"/>
    <w:tmpl w:val="FEC6827C"/>
    <w:lvl w:ilvl="0">
      <w:start w:val="1"/>
      <w:numFmt w:val="decimal"/>
      <w:lvlText w:val="3.%1.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B304E9"/>
    <w:multiLevelType w:val="singleLevel"/>
    <w:tmpl w:val="2C66BAE6"/>
    <w:lvl w:ilvl="0">
      <w:start w:val="22"/>
      <w:numFmt w:val="decimal"/>
      <w:lvlText w:val="3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387952"/>
    <w:multiLevelType w:val="multilevel"/>
    <w:tmpl w:val="A91C4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1007E3"/>
    <w:multiLevelType w:val="multilevel"/>
    <w:tmpl w:val="A91C4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706B24"/>
    <w:multiLevelType w:val="singleLevel"/>
    <w:tmpl w:val="462A2F34"/>
    <w:lvl w:ilvl="0">
      <w:start w:val="1"/>
      <w:numFmt w:val="decimal"/>
      <w:lvlText w:val="2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1E6CDE"/>
    <w:multiLevelType w:val="multilevel"/>
    <w:tmpl w:val="A91C4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EB3FC3"/>
    <w:multiLevelType w:val="singleLevel"/>
    <w:tmpl w:val="D38E7A82"/>
    <w:lvl w:ilvl="0">
      <w:start w:val="1"/>
      <w:numFmt w:val="decimal"/>
      <w:lvlText w:val="1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40512C4"/>
    <w:multiLevelType w:val="multilevel"/>
    <w:tmpl w:val="4F96B5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7559A0"/>
    <w:multiLevelType w:val="singleLevel"/>
    <w:tmpl w:val="2A927FB8"/>
    <w:lvl w:ilvl="0">
      <w:start w:val="21"/>
      <w:numFmt w:val="decimal"/>
      <w:lvlText w:val="3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303CB7"/>
    <w:multiLevelType w:val="hybridMultilevel"/>
    <w:tmpl w:val="E84A14F2"/>
    <w:lvl w:ilvl="0" w:tplc="5B5074BC">
      <w:start w:val="1"/>
      <w:numFmt w:val="decimal"/>
      <w:lvlText w:val="%1."/>
      <w:lvlJc w:val="left"/>
      <w:pPr>
        <w:ind w:left="3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8" w:hanging="360"/>
      </w:pPr>
    </w:lvl>
    <w:lvl w:ilvl="2" w:tplc="0419001B" w:tentative="1">
      <w:start w:val="1"/>
      <w:numFmt w:val="lowerRoman"/>
      <w:lvlText w:val="%3."/>
      <w:lvlJc w:val="right"/>
      <w:pPr>
        <w:ind w:left="5438" w:hanging="180"/>
      </w:pPr>
    </w:lvl>
    <w:lvl w:ilvl="3" w:tplc="0419000F" w:tentative="1">
      <w:start w:val="1"/>
      <w:numFmt w:val="decimal"/>
      <w:lvlText w:val="%4."/>
      <w:lvlJc w:val="left"/>
      <w:pPr>
        <w:ind w:left="6158" w:hanging="360"/>
      </w:pPr>
    </w:lvl>
    <w:lvl w:ilvl="4" w:tplc="04190019" w:tentative="1">
      <w:start w:val="1"/>
      <w:numFmt w:val="lowerLetter"/>
      <w:lvlText w:val="%5."/>
      <w:lvlJc w:val="left"/>
      <w:pPr>
        <w:ind w:left="6878" w:hanging="360"/>
      </w:pPr>
    </w:lvl>
    <w:lvl w:ilvl="5" w:tplc="0419001B" w:tentative="1">
      <w:start w:val="1"/>
      <w:numFmt w:val="lowerRoman"/>
      <w:lvlText w:val="%6."/>
      <w:lvlJc w:val="right"/>
      <w:pPr>
        <w:ind w:left="7598" w:hanging="180"/>
      </w:pPr>
    </w:lvl>
    <w:lvl w:ilvl="6" w:tplc="0419000F" w:tentative="1">
      <w:start w:val="1"/>
      <w:numFmt w:val="decimal"/>
      <w:lvlText w:val="%7."/>
      <w:lvlJc w:val="left"/>
      <w:pPr>
        <w:ind w:left="8318" w:hanging="360"/>
      </w:pPr>
    </w:lvl>
    <w:lvl w:ilvl="7" w:tplc="04190019" w:tentative="1">
      <w:start w:val="1"/>
      <w:numFmt w:val="lowerLetter"/>
      <w:lvlText w:val="%8."/>
      <w:lvlJc w:val="left"/>
      <w:pPr>
        <w:ind w:left="9038" w:hanging="360"/>
      </w:pPr>
    </w:lvl>
    <w:lvl w:ilvl="8" w:tplc="0419001B" w:tentative="1">
      <w:start w:val="1"/>
      <w:numFmt w:val="lowerRoman"/>
      <w:lvlText w:val="%9."/>
      <w:lvlJc w:val="right"/>
      <w:pPr>
        <w:ind w:left="9758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5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  <w:lvlOverride w:ilvl="0">
      <w:startOverride w:val="12"/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1"/>
    </w:lvlOverride>
  </w:num>
  <w:num w:numId="8">
    <w:abstractNumId w:val="3"/>
    <w:lvlOverride w:ilvl="0">
      <w:startOverride w:val="22"/>
    </w:lvlOverride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F"/>
    <w:rsid w:val="000133AC"/>
    <w:rsid w:val="000F25CF"/>
    <w:rsid w:val="001011CC"/>
    <w:rsid w:val="001A57E3"/>
    <w:rsid w:val="001E3653"/>
    <w:rsid w:val="00230ABF"/>
    <w:rsid w:val="00264442"/>
    <w:rsid w:val="002900FE"/>
    <w:rsid w:val="003132D6"/>
    <w:rsid w:val="00357CE0"/>
    <w:rsid w:val="003F79FD"/>
    <w:rsid w:val="00433598"/>
    <w:rsid w:val="00453B42"/>
    <w:rsid w:val="004D0282"/>
    <w:rsid w:val="00514D34"/>
    <w:rsid w:val="00543515"/>
    <w:rsid w:val="005B3EB4"/>
    <w:rsid w:val="00651F20"/>
    <w:rsid w:val="006D41AF"/>
    <w:rsid w:val="006E31E3"/>
    <w:rsid w:val="00764D2D"/>
    <w:rsid w:val="007747A7"/>
    <w:rsid w:val="007D3AAD"/>
    <w:rsid w:val="00886A32"/>
    <w:rsid w:val="008F215F"/>
    <w:rsid w:val="00914A71"/>
    <w:rsid w:val="00A176E0"/>
    <w:rsid w:val="00B76D5E"/>
    <w:rsid w:val="00B962FB"/>
    <w:rsid w:val="00C46AC5"/>
    <w:rsid w:val="00E60957"/>
    <w:rsid w:val="00E66C0B"/>
    <w:rsid w:val="00EB48C5"/>
    <w:rsid w:val="00FD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E542"/>
  <w15:docId w15:val="{D391B590-EDA6-4650-9D5F-DE2168D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41AF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6D41AF"/>
    <w:pPr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6D41AF"/>
    <w:pPr>
      <w:spacing w:line="322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6D41AF"/>
    <w:pPr>
      <w:spacing w:line="370" w:lineRule="exact"/>
      <w:jc w:val="both"/>
    </w:pPr>
  </w:style>
  <w:style w:type="paragraph" w:customStyle="1" w:styleId="Style14">
    <w:name w:val="Style14"/>
    <w:basedOn w:val="a"/>
    <w:uiPriority w:val="99"/>
    <w:rsid w:val="006D41AF"/>
    <w:pPr>
      <w:spacing w:line="370" w:lineRule="exact"/>
      <w:ind w:hanging="341"/>
    </w:pPr>
  </w:style>
  <w:style w:type="paragraph" w:customStyle="1" w:styleId="Style18">
    <w:name w:val="Style18"/>
    <w:basedOn w:val="a"/>
    <w:uiPriority w:val="99"/>
    <w:rsid w:val="006D41AF"/>
  </w:style>
  <w:style w:type="paragraph" w:customStyle="1" w:styleId="Style20">
    <w:name w:val="Style20"/>
    <w:basedOn w:val="a"/>
    <w:uiPriority w:val="99"/>
    <w:rsid w:val="006D41AF"/>
  </w:style>
  <w:style w:type="paragraph" w:customStyle="1" w:styleId="Style24">
    <w:name w:val="Style24"/>
    <w:basedOn w:val="a"/>
    <w:uiPriority w:val="99"/>
    <w:rsid w:val="006D41AF"/>
    <w:pPr>
      <w:spacing w:line="370" w:lineRule="exact"/>
      <w:ind w:firstLine="883"/>
      <w:jc w:val="both"/>
    </w:pPr>
  </w:style>
  <w:style w:type="paragraph" w:customStyle="1" w:styleId="Style31">
    <w:name w:val="Style31"/>
    <w:basedOn w:val="a"/>
    <w:uiPriority w:val="99"/>
    <w:rsid w:val="006D41AF"/>
    <w:pPr>
      <w:spacing w:line="370" w:lineRule="exact"/>
      <w:ind w:firstLine="854"/>
      <w:jc w:val="both"/>
    </w:pPr>
  </w:style>
  <w:style w:type="character" w:customStyle="1" w:styleId="FontStyle89">
    <w:name w:val="Font Style89"/>
    <w:basedOn w:val="a0"/>
    <w:uiPriority w:val="99"/>
    <w:rsid w:val="006D41AF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6D41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6D41AF"/>
    <w:rPr>
      <w:rFonts w:ascii="Times New Roman" w:hAnsi="Times New Roman" w:cs="Times New Roman" w:hint="default"/>
      <w:sz w:val="26"/>
      <w:szCs w:val="26"/>
    </w:rPr>
  </w:style>
  <w:style w:type="character" w:customStyle="1" w:styleId="FontStyle92">
    <w:name w:val="Font Style92"/>
    <w:basedOn w:val="a0"/>
    <w:uiPriority w:val="99"/>
    <w:rsid w:val="006D41AF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EB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A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3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3AA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CC4E-325A-415E-B4BE-DF3C0501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13</cp:revision>
  <cp:lastPrinted>2015-11-17T11:57:00Z</cp:lastPrinted>
  <dcterms:created xsi:type="dcterms:W3CDTF">2014-01-24T07:24:00Z</dcterms:created>
  <dcterms:modified xsi:type="dcterms:W3CDTF">2019-06-07T11:15:00Z</dcterms:modified>
</cp:coreProperties>
</file>